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A2" w:rsidRPr="00C046A2" w:rsidRDefault="00C046A2" w:rsidP="00C046A2">
      <w:pPr>
        <w:shd w:val="clear" w:color="auto" w:fill="FCFCFD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Termékbiztonsági jogszabályok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  <w:t>Termékbiztonsági keretrendszer az EU-ban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Az EU termékbiztonsági jogszabályai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3 összetevőből</w:t>
      </w:r>
      <w:r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állnak</w:t>
      </w:r>
      <w:bookmarkStart w:id="0" w:name="_GoBack"/>
      <w:bookmarkEnd w:id="0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:</w:t>
      </w:r>
    </w:p>
    <w:p w:rsidR="00C046A2" w:rsidRPr="00C046A2" w:rsidRDefault="00C046A2" w:rsidP="00C046A2">
      <w:pPr>
        <w:numPr>
          <w:ilvl w:val="0"/>
          <w:numId w:val="1"/>
        </w:numPr>
        <w:shd w:val="clear" w:color="auto" w:fill="FCFCFD"/>
        <w:spacing w:after="0" w:afterAutospacing="1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az </w:t>
      </w:r>
      <w:hyperlink r:id="rId6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Általános Termékbiztonsági Irányelv (GPSD), amelyet </w:t>
        </w:r>
      </w:hyperlink>
      <w:r w:rsidRPr="00C046A2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2024. december 13- </w:t>
      </w:r>
      <w:proofErr w:type="spellStart"/>
      <w:r w:rsidRPr="00C046A2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án</w:t>
      </w:r>
      <w:proofErr w:type="spellEnd"/>
      <w:r w:rsidRPr="00C046A2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 az </w:t>
      </w:r>
      <w:hyperlink r:id="rId7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Általános Termékbiztonsági Rendelet</w:t>
        </w:r>
      </w:hyperlink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 (GPSR) váltott fel .</w:t>
      </w:r>
    </w:p>
    <w:p w:rsidR="00C046A2" w:rsidRPr="00C046A2" w:rsidRDefault="00C046A2" w:rsidP="00C046A2">
      <w:pPr>
        <w:numPr>
          <w:ilvl w:val="0"/>
          <w:numId w:val="1"/>
        </w:numPr>
        <w:shd w:val="clear" w:color="auto" w:fill="FCFCFD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az </w:t>
      </w:r>
      <w:hyperlink r:id="rId8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EU harmonizációs jogszabályait</w:t>
        </w:r>
      </w:hyperlink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 , és</w:t>
      </w:r>
    </w:p>
    <w:p w:rsidR="00C046A2" w:rsidRPr="00C046A2" w:rsidRDefault="00C046A2" w:rsidP="00C046A2">
      <w:pPr>
        <w:numPr>
          <w:ilvl w:val="0"/>
          <w:numId w:val="1"/>
        </w:numPr>
        <w:shd w:val="clear" w:color="auto" w:fill="FCFCFD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az </w:t>
      </w:r>
      <w:hyperlink r:id="rId9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EU műszaki szabványait.</w:t>
        </w:r>
      </w:hyperlink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GPSR felvázolja a nem élelmiszer jellegű fogyasztási cikkek biztonságának új általános keretét az EU-ban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. Biztonsági hálóként működik, amely lefedi azokat a termékeket, szempontokat és kockázatokat, amelyekre a harmonizációs jogszabályok nem vonatkoznak. Azt is biztosítja, hogy az EU piacán forgalmazott valamennyi termék biztonságos legyen a fogyasztók számára.</w:t>
      </w:r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Az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EU harmonizációs jogszabályai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körvonalazzák az egyes termékekre vonatkozó jellemzőket és biztonsági követelményeket. Az EU-ban forgalomba hozott termékeknek meg kell felelniük ennek a jogszabálynak. Léteznek harmonizációs jogszabályok például a kozmetikai termékekre, az egyéni védőeszközökre és a játékokra. Olvasson tovább </w:t>
      </w:r>
      <w:hyperlink r:id="rId10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az EU harmonizációs jogszabályairól</w:t>
        </w:r>
      </w:hyperlink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Az EU biztonsági szabványai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a termékekre, gyártási folyamatokra, szolgáltatásokra vagy vizsgálati módszerekre vonatkozó műszaki előírások.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Az európai szabványok használata továbbra is önkéntes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. Az európai szabványok világosan és részletesen körvonalazzák azokat a műszaki követelményeket és vizsgálati módszereket, amelyek biztosítják az egyes termékek, illetve termékelemek, szempontok biztonságát.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Bár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az EU biztonsági szabványai jogilag nem kötelező erejűek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, e biztonsági szabványok alkalmazása, ha léteznek, nagyon előnyös a vállalkozások számára, mivel a vállalkozások számára egyértelmű módot biztosítanak termékeik biztonságosságának biztosítására.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  <w:t>Az Általános Termékbiztonsági Szabályzat (GPSR)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Az új GPSR 2023. június 12-én lépett hatályba, és 2024. december 13-tól lép hatályba, felváltva a </w:t>
      </w:r>
      <w:proofErr w:type="spell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GPSD-t</w:t>
      </w:r>
      <w:proofErr w:type="spellEnd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 GPSR új és </w:t>
      </w:r>
      <w:proofErr w:type="spell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jövőbiztosabb</w:t>
      </w:r>
      <w:proofErr w:type="spellEnd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termékbiztonsági szabályokat tartalmaz, amelyek tükrözik az uniós fogyasztók új valóságát. Például az online értékesítés, a közvetlen import és az új technológiai termékek biztonságával foglalkozik. Emellett megerősíti a felelősséget az egész ellátási láncban, hogy egyenlő feltételeket biztosítson az EU-ban tevékenykedő összes vállalkozás számára.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GPSR meghatározza az általános biztonsági követelményt, amely megköveteli a vállalkozásoktól, hogy csak biztonságos termékeket hozzanak forgalomba vagy tegyenek elérhetővé az EU piacán.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lastRenderedPageBreak/>
        <w:t>Tudtad?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GPSR minden típusú értékesítési csatorna termékbiztonságára vonatkozik, beleértve az online értékesítést és a távértékesítés egyéb típusait is.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GPSR általános biztonsági követelménye a fogyasztói termékekre vonatkozik. A kizárólag professzionális használatra tervezett, de később a fogyasztói piacra kerülő termékeknek is meg kell felelniük a GPSR előírásainak.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GPSR kiegészíti az EU más specifikus biztonsági jogszabályait: ha az uniós jog speciális biztonsági követelményeket ír elő a termékekre, a GPSR minden olyan további szempontot és kockázatot lefed, amelyre ezek a követelmények nem vonatkoznak, így biztosítva az összes fogyasztói termék biztonságosságát.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Az ellátási láncban részt vevő valamennyi vállalkozás, beleértve az online piacterek szolgáltatóit is, szerepet játszik a termékbiztonság biztosításában, és mindegyiknek eleget kell tennie a megfelelő kötelezettségeinek.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</w:t>
      </w:r>
      <w:proofErr w:type="gram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</w:t>
      </w:r>
      <w:proofErr w:type="gramEnd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GPSR meghatározza az egyes üzlettípusok felelősségét.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  <w:t>Mely termékek tartoznak a GPSR hatálya alá?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GPSR olyan termékekre vonatkozik, amelyek kézzelfoghatóak, nem kézzelfoghatóak vagy vegyes jellegűek, beleértve az alkalmazásokat és szoftvertermékeket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. Ez vonatkozik a forgalomba hozott vagy forgalomba hozott termékekre is, legyen az új, használt, javított vagy felújított.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Bizonyos termékek és termékcsoportok nem tartoznak a GPSR hatálya alá, például a gyógyszerek és a régiségek. A kizárt termékek teljes listája a GPSR 2. cikkében található.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 szolgáltatásokra nem vonatkozik a GPSR. A GPSR azonban a szolgáltatás részeként a fogyasztóknak biztosított termékekre vonatkozik.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  <w:t>Mi a biztonságos termék?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Egy termék akkor tekinthető biztonságosnak, ha – rendeltetésszerű vagy rendeltetésszerű használat esetén (beleértve a használati időtartamot is) –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nem jelent semmilyen kockázatot, vagy csak minimális, a használatához elfogadható kockázatot jelent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. Ez biztosítja a fogyasztók egészségének és biztonságának magas szintű védelmét.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Az általános biztonsági követelmények teljesítése érdekében a terméket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kockázatértékelésnek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 kell </w:t>
      </w:r>
      <w:proofErr w:type="gram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alávetni ,</w:t>
      </w:r>
      <w:proofErr w:type="gramEnd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amely felméri a fogyasztók egészségére és biztonságára gyakorolt ​​lehetséges kockázatokat, és figyelembe veszi a termék minden lényeges szempontját. Minden lehetséges kockázatot meg kell szüntetni, vagy ha nem lehetséges, mérsékelni kell.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Amikor csak lehetséges, az EU Hivatalos Lapjában idézett vonatkozó európai biztonsági szabványok alkalmazása az egyik módja annak, hogy terméke 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lastRenderedPageBreak/>
        <w:t>biztonságosnak tekinthető. Ha nem léteznek ilyen szabványok, egy termék akkor tekinthető biztonságosnak, ha megfelel azon ország nemzeti egészségügyi és biztonsági követelményeinek, ahol hozzáférhetővé teszik.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Vegye figyelembe, hogy a GPSR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minden lehetséges egészségügyi veszélyre vonatkozik, beleértve a mentális egészségügyi kockázatokat is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 . </w:t>
      </w:r>
      <w:proofErr w:type="gram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</w:t>
      </w:r>
      <w:proofErr w:type="gramEnd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környezeti kockázatokkal is foglalkozik, ha ezek veszélyt jelentenek a fogyasztók egészségére és biztonságára.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  <w:t>A vállalkozások szerepe</w:t>
      </w:r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11" w:anchor="/screen/pages/obligationsForBusinesses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Azonnal tájékozódjon a Vállalkozások kötelezettségei</w:t>
        </w:r>
      </w:hyperlink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oldalon, hogy melyek a vállalkozások új kötelezettségei a GPSR alkalmazását követően .</w:t>
      </w:r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Ha észreveszi, hogy valamelyik terméke kockázatot jelenthet a fogyasztók egészségére és biztonságára, ne kockáztassa üzleti hírnevét. Kezdje el most használni a követelményeket a hatékony visszahívás létrehozásához, amely megvédi ügyfeleit: Tekintse meg az összes utasítást a </w:t>
      </w:r>
      <w:hyperlink r:id="rId12" w:anchor="/screen/pages/effectiveRecalls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Veszélyes termékek visszahívása</w:t>
        </w:r>
      </w:hyperlink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</w:t>
      </w:r>
      <w:proofErr w:type="gram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weboldalon .</w:t>
      </w:r>
      <w:proofErr w:type="gramEnd"/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  <w:t>A nemzeti hatóságok szerepe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Az EU-ban a nemzeti hatóságok felelősek a piacfelügyelet elvégzéséért annak biztosítása érdekében, hogy a piacon lévő termékek megfeleljenek az alkalmazandó törvényeknek és előírásoknak, valamint a meglévő uniós egészségügyi és biztonsági követelményeknek.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Ők felelősek a megfelelő intézkedések megtételéért is, ha veszélyes terméket találnak.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Mind a fizikai boltokból, mind az online piacról mintákat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gyűjtenek ellenőrzés céljából , és szükség esetén speciális laboratóriumokban tesztelik ezeket a mintákat.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Az azonosított kockázattól függően a nemzeti hatóságok különböző típusú intézkedéseket hozhatnak vagy írhatnak elő, például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tájékoztathatják a vámhatóságot a termékek határon történő elutasításáról, elrendelhetik a termék visszahívását vagy a termék visszavonását, értékesítési tilalmat rendelhetnek el és/vagy figyelmeztető üzeneteket terjeszthetnek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.</w:t>
      </w:r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Az EU-országok folyamatosan tájékoztatják egymást a veszélyes termékekről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 xml:space="preserve">az EU </w:t>
      </w:r>
      <w:proofErr w:type="spellStart"/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Safety</w:t>
      </w:r>
      <w:proofErr w:type="spellEnd"/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 xml:space="preserve"> Gate Rapid </w:t>
      </w:r>
      <w:proofErr w:type="spellStart"/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Alert</w:t>
      </w:r>
      <w:proofErr w:type="spellEnd"/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 xml:space="preserve"> System-en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 keresztül – egy olyan alkalmazáson keresztül, ahol a nemzeti hatóságok megosztják </w:t>
      </w:r>
      <w:proofErr w:type="gram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egymással</w:t>
      </w:r>
      <w:proofErr w:type="gramEnd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a veszélyes termékekkel szemben hozott intézkedésekről szóló információkat. A rendszert az Európai Bizottság kezeli, amely a riasztásokból származó legfontosabb információkat is közzéteszi a </w:t>
      </w:r>
      <w:hyperlink r:id="rId13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Biztonsági kapu portálon</w:t>
        </w:r>
      </w:hyperlink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</w:t>
      </w:r>
      <w:proofErr w:type="gram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keresztül .</w:t>
      </w:r>
      <w:proofErr w:type="gramEnd"/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A GPSR értelmében az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Európai Bizottság uniós lépéseket is tehet a komoly kockázatot jelentő termékek ellen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. A Bizottság akár saját kezdeményezésére, akár a nemzeti hatóságok kérésére beavatkozhat. Az általa hozott intézkedések magukban foglalhatják 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 xml:space="preserve">az ilyen termékek értékesítésének megtiltását, </w:t>
      </w: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lastRenderedPageBreak/>
        <w:t>felfüggesztését vagy korlátozását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, vagy magukban foglalhatják a termékek tesztelésére vagy forgalmazására vonatkozó különleges feltételek meghatározását is.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303030"/>
          <w:sz w:val="24"/>
          <w:szCs w:val="24"/>
          <w:lang w:eastAsia="hu-HU"/>
        </w:rPr>
        <w:t>A Bizottság koordinálja a piacfelügyeleti hatóságok közös tevékenységeit is</w:t>
      </w: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 . Ebben az összefüggésben a hatóságok ellenőrzik az online és offline elérhető termékeket. Közösen is részt vehetnek bizonyos termékeket vagy termékkategóriákat célzó egyidejű „</w:t>
      </w:r>
      <w:proofErr w:type="spell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sweep</w:t>
      </w:r>
      <w:proofErr w:type="spellEnd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”</w:t>
      </w:r>
      <w:proofErr w:type="spell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-ekben</w:t>
      </w:r>
      <w:proofErr w:type="spellEnd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, hogy ellenőrizzék, megfelelnek-e az előírásoknak. Az ilyen </w:t>
      </w:r>
      <w:proofErr w:type="spellStart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>sweepek</w:t>
      </w:r>
      <w:proofErr w:type="spellEnd"/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t xml:space="preserve"> különösen hasznosak lehetnek az online vagy távértékesítési ajánlatok figyelésekor.</w:t>
      </w:r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</w:pPr>
      <w:r w:rsidRPr="00C046A2"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  <w:t>Hasznos linkek:</w:t>
      </w:r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14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Általános termékbiztonsági rendelet (GPSR)</w:t>
        </w:r>
      </w:hyperlink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15" w:tgtFrame="_blank" w:history="1">
        <w:proofErr w:type="gramStart"/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uniós</w:t>
        </w:r>
        <w:proofErr w:type="gramEnd"/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 xml:space="preserve"> harmonizációs jogszabályok</w:t>
        </w:r>
      </w:hyperlink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16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A Hivatalos Lapban hivatkozott uniós műszaki szabványok listája a GPSD/GPSR alapján</w:t>
        </w:r>
      </w:hyperlink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17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GPSR sajtóközlemény, 2023. június 12</w:t>
        </w:r>
      </w:hyperlink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18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A Biztonsági Kapu Gyorsriasztó Rendszer egységes nemzeti kapcsolattartóinak szerepe és feladatai</w:t>
        </w:r>
      </w:hyperlink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19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A fogyasztók és más érdekelt felek módozatai a Bizottság tájékoztatására azokról a termékekről, amelyek kockázatot jelenthetnek a fogyasztók egészségére és biztonságára, és ezen információknak az érintett nemzeti hatóságokhoz történő továbbítására</w:t>
        </w:r>
      </w:hyperlink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20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 xml:space="preserve">A Biztonsági Kapu Portál </w:t>
        </w:r>
        <w:proofErr w:type="spellStart"/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interoperábilis</w:t>
        </w:r>
        <w:proofErr w:type="spellEnd"/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 xml:space="preserve"> felületének megvalósítása az online piacterek szolgáltatói számára</w:t>
        </w:r>
      </w:hyperlink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21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Útmutató a veszélyes fogyasztási cikkekről a tagállamok illetékes hatóságainak a gyártók és forgalmazók általi bejelentésére vonatkozóan, a 2001/95/EK európai parlamenti és tanácsi irányelv 5. cikkének (3) bekezdésével összhangban</w:t>
        </w:r>
      </w:hyperlink>
    </w:p>
    <w:p w:rsidR="00C046A2" w:rsidRPr="00C046A2" w:rsidRDefault="00C046A2" w:rsidP="00C046A2">
      <w:pPr>
        <w:shd w:val="clear" w:color="auto" w:fill="FCFCFD"/>
        <w:spacing w:beforeAutospacing="1" w:after="0" w:afterAutospacing="1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22" w:tgtFrame="_blank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u w:val="single"/>
            <w:lang w:eastAsia="hu-HU"/>
          </w:rPr>
          <w:t>Jelentés a 2001/95/EK irányelv végrehajtásáról</w:t>
        </w:r>
      </w:hyperlink>
    </w:p>
    <w:p w:rsidR="00C046A2" w:rsidRPr="00C046A2" w:rsidRDefault="00C046A2" w:rsidP="00C046A2">
      <w:pPr>
        <w:shd w:val="clear" w:color="auto" w:fill="FCFCF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</w:pPr>
      <w:proofErr w:type="spellStart"/>
      <w:r w:rsidRPr="00C046A2"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  <w:t>GPSR-rel</w:t>
      </w:r>
      <w:proofErr w:type="spellEnd"/>
      <w:r w:rsidRPr="00C046A2">
        <w:rPr>
          <w:rFonts w:ascii="Arial" w:eastAsia="Times New Roman" w:hAnsi="Arial" w:cs="Arial"/>
          <w:b/>
          <w:bCs/>
          <w:color w:val="303030"/>
          <w:sz w:val="36"/>
          <w:szCs w:val="36"/>
          <w:lang w:eastAsia="hu-HU"/>
        </w:rPr>
        <w:t xml:space="preserve"> kapcsolatos dokumentumok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Új Általános Termékbiztonsági Szabályzat – adatlap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proofErr w:type="gramStart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angol</w:t>
      </w:r>
      <w:proofErr w:type="gramEnd"/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(560,57 KB - PDF)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23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lang w:eastAsia="hu-HU"/>
          </w:rPr>
          <w:t>Letöltés</w:t>
        </w:r>
      </w:hyperlink>
    </w:p>
    <w:p w:rsidR="00C046A2" w:rsidRPr="00C046A2" w:rsidRDefault="00C046A2" w:rsidP="00C046A2">
      <w:pPr>
        <w:shd w:val="clear" w:color="auto" w:fill="FCFCFD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br/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Javaslat az általános termékbiztonságról szóló rendeletre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proofErr w:type="gramStart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angol</w:t>
      </w:r>
      <w:proofErr w:type="gramEnd"/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lastRenderedPageBreak/>
        <w:t>(793,13 KB - PDF)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24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lang w:eastAsia="hu-HU"/>
          </w:rPr>
          <w:t>Letöltés</w:t>
        </w:r>
      </w:hyperlink>
    </w:p>
    <w:p w:rsidR="00C046A2" w:rsidRPr="00C046A2" w:rsidRDefault="00C046A2" w:rsidP="00C046A2">
      <w:pPr>
        <w:shd w:val="clear" w:color="auto" w:fill="FCFCFD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br/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proofErr w:type="gramStart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melléklet</w:t>
      </w:r>
      <w:proofErr w:type="gramEnd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az általános termékbiztonságról szóló rendeletjavaslathoz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proofErr w:type="gramStart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angol</w:t>
      </w:r>
      <w:proofErr w:type="gramEnd"/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(60,58 KB - PDF)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25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lang w:eastAsia="hu-HU"/>
          </w:rPr>
          <w:t>Letöltés</w:t>
        </w:r>
      </w:hyperlink>
    </w:p>
    <w:p w:rsidR="00C046A2" w:rsidRPr="00C046A2" w:rsidRDefault="00C046A2" w:rsidP="00C046A2">
      <w:pPr>
        <w:shd w:val="clear" w:color="auto" w:fill="FCFCFD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br/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Az általános termékbiztonságról szóló rendeletjavaslatot kísérő hatásvizsgálat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proofErr w:type="gramStart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angol</w:t>
      </w:r>
      <w:proofErr w:type="gramEnd"/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(3,73 MB - PDF)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26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lang w:eastAsia="hu-HU"/>
          </w:rPr>
          <w:t>Letöltés</w:t>
        </w:r>
      </w:hyperlink>
    </w:p>
    <w:p w:rsidR="00C046A2" w:rsidRPr="00C046A2" w:rsidRDefault="00C046A2" w:rsidP="00C046A2">
      <w:pPr>
        <w:shd w:val="clear" w:color="auto" w:fill="FCFCFD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br/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Az általános termékbiztonságról szóló rendeletjavaslatot kísérő hatásvizsgálati jelentés vezetői összefoglalója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proofErr w:type="gramStart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angol</w:t>
      </w:r>
      <w:proofErr w:type="gramEnd"/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(81,83 KB - PDF)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27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lang w:eastAsia="hu-HU"/>
          </w:rPr>
          <w:t>Letöltés</w:t>
        </w:r>
      </w:hyperlink>
    </w:p>
    <w:p w:rsidR="00C046A2" w:rsidRPr="00C046A2" w:rsidRDefault="00C046A2" w:rsidP="00C046A2">
      <w:pPr>
        <w:shd w:val="clear" w:color="auto" w:fill="FCFCFD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br/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Tanulmány az általános termékbiztonságról szóló irányelv végrehajtási jelentésének elkészítéséhez, 1. rész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proofErr w:type="gramStart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angol</w:t>
      </w:r>
      <w:proofErr w:type="gramEnd"/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(2,64 MB – PDF)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28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lang w:eastAsia="hu-HU"/>
          </w:rPr>
          <w:t>Letöltés</w:t>
        </w:r>
      </w:hyperlink>
    </w:p>
    <w:p w:rsidR="00C046A2" w:rsidRPr="00C046A2" w:rsidRDefault="00C046A2" w:rsidP="00C046A2">
      <w:pPr>
        <w:shd w:val="clear" w:color="auto" w:fill="FCFCFD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303030"/>
          <w:sz w:val="24"/>
          <w:szCs w:val="24"/>
          <w:lang w:eastAsia="hu-HU"/>
        </w:rPr>
        <w:br/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Az általános termékbiztonságról szóló irányelv végrehajtási tanulmányához csatolt 2. rész (</w:t>
      </w:r>
      <w:proofErr w:type="spellStart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Országjelentések</w:t>
      </w:r>
      <w:proofErr w:type="spellEnd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) közzététele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proofErr w:type="gramStart"/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angol</w:t>
      </w:r>
      <w:proofErr w:type="gramEnd"/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C046A2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(4,65 MB - PDF)</w:t>
      </w:r>
    </w:p>
    <w:p w:rsidR="00C046A2" w:rsidRPr="00C046A2" w:rsidRDefault="00C046A2" w:rsidP="00C046A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hu-HU"/>
        </w:rPr>
      </w:pPr>
      <w:hyperlink r:id="rId29" w:history="1">
        <w:r w:rsidRPr="00C046A2">
          <w:rPr>
            <w:rFonts w:ascii="Arial" w:eastAsia="Times New Roman" w:hAnsi="Arial" w:cs="Arial"/>
            <w:color w:val="004494"/>
            <w:sz w:val="24"/>
            <w:szCs w:val="24"/>
            <w:lang w:eastAsia="hu-HU"/>
          </w:rPr>
          <w:t>Letöltés</w:t>
        </w:r>
      </w:hyperlink>
    </w:p>
    <w:p w:rsidR="00D7320F" w:rsidRDefault="00D7320F"/>
    <w:sectPr w:rsidR="00D7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862"/>
    <w:multiLevelType w:val="multilevel"/>
    <w:tmpl w:val="1FA2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A2"/>
    <w:rsid w:val="00C046A2"/>
    <w:rsid w:val="00D7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087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1450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30194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730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439613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8273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398135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1347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842300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815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5870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4863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12959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1888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reg/2019/1020/oj" TargetMode="External"/><Relationship Id="rId13" Type="http://schemas.openxmlformats.org/officeDocument/2006/relationships/hyperlink" Target="https://ec.europa.eu/safety-gate-alerts/screen/search?resetSearch=true" TargetMode="External"/><Relationship Id="rId18" Type="http://schemas.openxmlformats.org/officeDocument/2006/relationships/hyperlink" Target="https://eur-lex.europa.eu/legal-content/EN/TXT/?uri=OJ:L_202402639" TargetMode="External"/><Relationship Id="rId26" Type="http://schemas.openxmlformats.org/officeDocument/2006/relationships/hyperlink" Target="https://webgate.ec.europa.eu/safety/consumers/consumers_safety_gate/ProductSafetyLegislation/documents/Impact_assessment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ur-lex.europa.eu/legal-content/EN/TXT/?uri=CELEX%3A32024D1761&amp;qid=1719489730968" TargetMode="External"/><Relationship Id="rId7" Type="http://schemas.openxmlformats.org/officeDocument/2006/relationships/hyperlink" Target="https://eur-lex.europa.eu/legal-content/EN/TXT/?uri=uriserv%3AOJ.L_.2023.135.01.0001.01.ENG&amp;toc=OJ%3AL%3A2023%3A135%3ATOC" TargetMode="External"/><Relationship Id="rId12" Type="http://schemas.openxmlformats.org/officeDocument/2006/relationships/hyperlink" Target="https://ec.europa.eu/safety-gate/" TargetMode="External"/><Relationship Id="rId17" Type="http://schemas.openxmlformats.org/officeDocument/2006/relationships/hyperlink" Target="https://ec.europa.eu/commission/presscorner/detail/en/ip_23_3190" TargetMode="External"/><Relationship Id="rId25" Type="http://schemas.openxmlformats.org/officeDocument/2006/relationships/hyperlink" Target="https://webgate.ec.europa.eu/safety/consumers/consumers_safety_gate/ProductSafetyLegislation/documents/Annex_to_the_propos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ata.europa.eu/eli/dec_impl/2019/1698/2022-08-16" TargetMode="External"/><Relationship Id="rId20" Type="http://schemas.openxmlformats.org/officeDocument/2006/relationships/hyperlink" Target="https://eur-lex.europa.eu/legal-content/EN/TXT/?uri=CELEX%3A32024R1459&amp;qid=1719489110341" TargetMode="External"/><Relationship Id="rId29" Type="http://schemas.openxmlformats.org/officeDocument/2006/relationships/hyperlink" Target="https://webgate.ec.europa.eu/safety/consumers/consumers_safety_gate/ProductSafetyLegislation/documents/gpsd_final_report_part2_i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xUriServ/LexUriServ.do?uri=CELEX:32001L0095:EN:NOT" TargetMode="External"/><Relationship Id="rId11" Type="http://schemas.openxmlformats.org/officeDocument/2006/relationships/hyperlink" Target="https://ec.europa.eu/safety-gate/" TargetMode="External"/><Relationship Id="rId24" Type="http://schemas.openxmlformats.org/officeDocument/2006/relationships/hyperlink" Target="https://webgate.ec.europa.eu/safety/consumers/consumers_safety_gate/ProductSafetyLegislation/documents/Proposal_for_a_Regulation_on_general_product_safet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ngle-market-economy.ec.europa.eu/single-market/european-standards/harmonised-standards_en" TargetMode="External"/><Relationship Id="rId23" Type="http://schemas.openxmlformats.org/officeDocument/2006/relationships/hyperlink" Target="https://webgate.ec.europa.eu/safety/consumers/consumers_safety_gate/ProductSafetyLegislation/documents/Factsheet_GPSR_final.pdf" TargetMode="External"/><Relationship Id="rId28" Type="http://schemas.openxmlformats.org/officeDocument/2006/relationships/hyperlink" Target="https://webgate.ec.europa.eu/safety/consumers/consumers_safety_gate/ProductSafetyLegislation/documents/gpsd_final_report_part1_eval.pdf" TargetMode="External"/><Relationship Id="rId10" Type="http://schemas.openxmlformats.org/officeDocument/2006/relationships/hyperlink" Target="https://single-market-economy.ec.europa.eu/single-market/european-standards/harmonised-standards_en" TargetMode="External"/><Relationship Id="rId19" Type="http://schemas.openxmlformats.org/officeDocument/2006/relationships/hyperlink" Target="https://eur-lex.europa.eu/legal-content/EN/TXT/?uri=CELEX%3A32024R1740&amp;qid=171948965532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mission.europa.eu/business-economy-euro/doing-business-eu/eu-product-safety-and-labelling/product-safety/standards-and-risks-specific-products_en" TargetMode="External"/><Relationship Id="rId14" Type="http://schemas.openxmlformats.org/officeDocument/2006/relationships/hyperlink" Target="https://eur-lex.europa.eu/eli/reg/2023/988" TargetMode="External"/><Relationship Id="rId22" Type="http://schemas.openxmlformats.org/officeDocument/2006/relationships/hyperlink" Target="https://eur-lex.europa.eu/legal-content/EN/TXT/?uri=CELEX:52021DC0342" TargetMode="External"/><Relationship Id="rId27" Type="http://schemas.openxmlformats.org/officeDocument/2006/relationships/hyperlink" Target="https://webgate.ec.europa.eu/safety/consumers/consumers_safety_gate/ProductSafetyLegislation/documents/Executive_summary_of_the_impact_assessment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1615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Floravita1</dc:creator>
  <cp:lastModifiedBy>Floravita1</cp:lastModifiedBy>
  <cp:revision>1</cp:revision>
  <dcterms:created xsi:type="dcterms:W3CDTF">2025-03-07T12:43:00Z</dcterms:created>
  <dcterms:modified xsi:type="dcterms:W3CDTF">2025-03-07T12:53:00Z</dcterms:modified>
</cp:coreProperties>
</file>